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0625" cy="5876925"/>
            <wp:effectExtent l="0" t="0" r="9525" b="9525"/>
            <wp:docPr id="4" name="图片 4" descr="泰科易技术交易奖励政策实施办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泰科易技术交易奖励政策实施办法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91100" cy="5848350"/>
            <wp:effectExtent l="0" t="0" r="0" b="0"/>
            <wp:docPr id="3" name="图片 3" descr="泰科易技术交易奖励政策实施办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泰科易技术交易奖励政策实施办法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0150" cy="5838825"/>
            <wp:effectExtent l="0" t="0" r="0" b="9525"/>
            <wp:docPr id="2" name="图片 2" descr="泰科易技术交易奖励政策实施办法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泰科易技术交易奖励政策实施办法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0150" cy="5848350"/>
            <wp:effectExtent l="0" t="0" r="0" b="0"/>
            <wp:docPr id="1" name="图片 1" descr="泰科易技术交易奖励政策实施办法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泰科易技术交易奖励政策实施办法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50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chenxiaojuan</dc:creator>
  <cp:lastModifiedBy>杰西卡1401414325</cp:lastModifiedBy>
  <dcterms:modified xsi:type="dcterms:W3CDTF">2019-03-11T03:38:13Z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