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outlineLvl w:val="1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Times New Roman" w:hAnsi="Times New Roman" w:eastAsia="仿宋_GB2312"/>
          <w:color w:val="333333"/>
          <w:sz w:val="32"/>
          <w:szCs w:val="32"/>
        </w:rPr>
      </w:pPr>
      <w:r>
        <w:rPr>
          <w:rFonts w:hint="eastAsia" w:ascii="Times New Roman" w:hAnsi="Times New Roman" w:eastAsia="方正小标宋_GBK"/>
          <w:sz w:val="36"/>
          <w:szCs w:val="36"/>
        </w:rPr>
        <w:t>2022年度</w:t>
      </w:r>
      <w:r>
        <w:rPr>
          <w:rFonts w:ascii="Times New Roman" w:hAnsi="Times New Roman" w:eastAsia="方正小标宋_GBK"/>
          <w:sz w:val="36"/>
          <w:szCs w:val="36"/>
        </w:rPr>
        <w:t>火炬科技成果直通车</w:t>
      </w:r>
      <w:r>
        <w:rPr>
          <w:rFonts w:hint="eastAsia" w:ascii="Times New Roman" w:hAnsi="Times New Roman" w:eastAsia="方正小标宋_GBK"/>
          <w:sz w:val="36"/>
          <w:szCs w:val="36"/>
          <w:lang w:eastAsia="zh-CN"/>
        </w:rPr>
        <w:t>工作方案</w:t>
      </w:r>
    </w:p>
    <w:p>
      <w:pPr>
        <w:spacing w:line="600" w:lineRule="exact"/>
        <w:rPr>
          <w:rFonts w:hint="default" w:ascii="Times New Roman" w:hAnsi="Times New Roman" w:eastAsia="宋体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eastAsia="zh-CN"/>
        </w:rPr>
        <w:t>报送单位：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          联系人：            手机：</w:t>
      </w:r>
    </w:p>
    <w:tbl>
      <w:tblPr>
        <w:tblStyle w:val="4"/>
        <w:tblW w:w="8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2825"/>
        <w:gridCol w:w="1417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8999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一、总体思路与目标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（包括火炬直通车工作定位、工作目标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和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量化指标等。）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8999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二、必要性与基础优势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（包括火炬直通车工作的必要性、现有工作基础与优势等。）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8999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</w:rPr>
              <w:t>三、</w:t>
            </w: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  <w:t>组织架构与责任分工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包括火炬直通车工作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的主办、承办单位和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责任分工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，承办单位基本情况。）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999" w:type="dxa"/>
            <w:gridSpan w:val="4"/>
            <w:vAlign w:val="center"/>
          </w:tcPr>
          <w:p>
            <w:pPr>
              <w:ind w:left="0" w:leftChars="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</w:rPr>
              <w:t>四、</w:t>
            </w: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支撑保障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（包括在政策、人才、资金等方面提供的支撑保障等。）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999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五、路演活动</w:t>
            </w:r>
            <w:r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</w:rPr>
              <w:t>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670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活动时间</w:t>
            </w:r>
          </w:p>
        </w:tc>
        <w:tc>
          <w:tcPr>
            <w:tcW w:w="6329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需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10月底前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完成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670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活动地点</w:t>
            </w:r>
          </w:p>
        </w:tc>
        <w:tc>
          <w:tcPr>
            <w:tcW w:w="2825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活动规模</w:t>
            </w:r>
          </w:p>
        </w:tc>
        <w:tc>
          <w:tcPr>
            <w:tcW w:w="2087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670" w:type="dxa"/>
            <w:vAlign w:val="center"/>
          </w:tcPr>
          <w:p>
            <w:pP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路演主题</w:t>
            </w:r>
          </w:p>
        </w:tc>
        <w:tc>
          <w:tcPr>
            <w:tcW w:w="6329" w:type="dxa"/>
            <w:gridSpan w:val="3"/>
            <w:vAlign w:val="top"/>
          </w:tcPr>
          <w:p>
            <w:pPr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670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日程安排</w:t>
            </w:r>
          </w:p>
        </w:tc>
        <w:tc>
          <w:tcPr>
            <w:tcW w:w="6329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（活动初步</w:t>
            </w: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2670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省级科技管理部门审核意见</w:t>
            </w:r>
          </w:p>
        </w:tc>
        <w:tc>
          <w:tcPr>
            <w:tcW w:w="6329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E5C29"/>
    <w:rsid w:val="309E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  <w:rPr>
      <w:rFonts w:ascii="Calibri" w:hAnsi="Calibri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2022-04-26T06:08:00Z</dcterms:created>
  <dc:creator>Administrator</dc:creator>
  <cp:lastModifiedBy>Administrator</cp:lastModifiedBy>
  <dcterms:modified xsi:type="dcterms:W3CDTF">2022-04-26T06:08:26Z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